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B5C51" w14:textId="77777777" w:rsidR="00521C07" w:rsidRDefault="00521C07">
      <w:pPr>
        <w:pStyle w:val="Heading1"/>
        <w:spacing w:before="76"/>
        <w:ind w:left="2645" w:right="2630" w:firstLine="0"/>
        <w:jc w:val="center"/>
      </w:pPr>
    </w:p>
    <w:p w14:paraId="7712DA1E" w14:textId="77777777" w:rsidR="00230B06" w:rsidRDefault="00230B06" w:rsidP="00230B06">
      <w:pPr>
        <w:pStyle w:val="Heading1"/>
        <w:spacing w:before="76"/>
        <w:ind w:left="0" w:right="2630" w:firstLine="0"/>
      </w:pPr>
    </w:p>
    <w:p w14:paraId="7EF4C5DA" w14:textId="43A1819E" w:rsidR="00DA168E" w:rsidRDefault="009D4035">
      <w:pPr>
        <w:pStyle w:val="Heading1"/>
        <w:spacing w:before="76"/>
        <w:ind w:left="2645" w:right="2630" w:firstLine="0"/>
        <w:jc w:val="center"/>
      </w:pPr>
      <w:r>
        <w:t>APPOINTMENT LETTER</w:t>
      </w:r>
    </w:p>
    <w:p w14:paraId="0F574505" w14:textId="77777777" w:rsidR="00DA168E" w:rsidRPr="00BA134B" w:rsidRDefault="00DA168E">
      <w:pPr>
        <w:pStyle w:val="BodyText"/>
        <w:rPr>
          <w:b/>
          <w:sz w:val="20"/>
          <w:szCs w:val="20"/>
        </w:rPr>
      </w:pPr>
    </w:p>
    <w:p w14:paraId="21FF7802" w14:textId="62E4B16B" w:rsidR="00DA168E" w:rsidRPr="00BA134B" w:rsidRDefault="00722DA4" w:rsidP="00521C07">
      <w:pPr>
        <w:pStyle w:val="ListParagraph"/>
        <w:numPr>
          <w:ilvl w:val="0"/>
          <w:numId w:val="7"/>
        </w:numPr>
        <w:tabs>
          <w:tab w:val="left" w:pos="836"/>
        </w:tabs>
        <w:jc w:val="both"/>
        <w:rPr>
          <w:b/>
          <w:sz w:val="20"/>
          <w:szCs w:val="20"/>
        </w:rPr>
      </w:pPr>
      <w:r w:rsidRPr="00BA134B">
        <w:rPr>
          <w:b/>
          <w:sz w:val="20"/>
          <w:szCs w:val="20"/>
        </w:rPr>
        <w:t>Introduction</w:t>
      </w:r>
    </w:p>
    <w:p w14:paraId="0C244553" w14:textId="78DDF714" w:rsidR="00722DA4" w:rsidRPr="00BA134B" w:rsidRDefault="003C1D32" w:rsidP="00521C07">
      <w:pPr>
        <w:pStyle w:val="ListParagraph"/>
        <w:numPr>
          <w:ilvl w:val="1"/>
          <w:numId w:val="6"/>
        </w:numPr>
        <w:tabs>
          <w:tab w:val="left" w:pos="536"/>
        </w:tabs>
        <w:spacing w:before="1"/>
        <w:ind w:right="76" w:firstLine="0"/>
        <w:jc w:val="both"/>
        <w:rPr>
          <w:sz w:val="20"/>
          <w:szCs w:val="20"/>
        </w:rPr>
      </w:pPr>
      <w:r w:rsidRPr="00BA134B">
        <w:rPr>
          <w:sz w:val="20"/>
          <w:szCs w:val="20"/>
        </w:rPr>
        <w:t xml:space="preserve">This </w:t>
      </w:r>
      <w:r w:rsidR="009D4035" w:rsidRPr="00BA134B">
        <w:rPr>
          <w:sz w:val="20"/>
          <w:szCs w:val="20"/>
        </w:rPr>
        <w:t>letter confirms that Cyprus Debt Collect (CDC) accepts to act on behalf of the Client in the collection of the uploaded debt(s)</w:t>
      </w:r>
      <w:r w:rsidRPr="00BA134B">
        <w:rPr>
          <w:sz w:val="20"/>
          <w:szCs w:val="20"/>
        </w:rPr>
        <w:t>.</w:t>
      </w:r>
      <w:r w:rsidR="009D4035" w:rsidRPr="00BA134B">
        <w:rPr>
          <w:sz w:val="20"/>
          <w:szCs w:val="20"/>
        </w:rPr>
        <w:t xml:space="preserve"> </w:t>
      </w:r>
      <w:r w:rsidR="00AA1AB8" w:rsidRPr="00BA134B">
        <w:rPr>
          <w:sz w:val="20"/>
          <w:szCs w:val="20"/>
        </w:rPr>
        <w:t>T</w:t>
      </w:r>
      <w:r w:rsidR="009D4035" w:rsidRPr="00BA134B">
        <w:rPr>
          <w:sz w:val="20"/>
          <w:szCs w:val="20"/>
        </w:rPr>
        <w:t xml:space="preserve">he appointment takes place from the moment </w:t>
      </w:r>
      <w:r w:rsidR="00AA1AB8" w:rsidRPr="00BA134B">
        <w:rPr>
          <w:sz w:val="20"/>
          <w:szCs w:val="20"/>
        </w:rPr>
        <w:t xml:space="preserve">CDC confirms to the Client that action for the recovery of the debt has commenced. </w:t>
      </w:r>
    </w:p>
    <w:p w14:paraId="78627BFA" w14:textId="77777777" w:rsidR="00722DA4" w:rsidRPr="00BA134B" w:rsidRDefault="00722DA4" w:rsidP="00521C07">
      <w:pPr>
        <w:pStyle w:val="ListParagraph"/>
        <w:tabs>
          <w:tab w:val="left" w:pos="536"/>
        </w:tabs>
        <w:spacing w:before="1"/>
        <w:ind w:left="116" w:right="76"/>
        <w:jc w:val="both"/>
        <w:rPr>
          <w:sz w:val="20"/>
          <w:szCs w:val="20"/>
        </w:rPr>
      </w:pPr>
    </w:p>
    <w:p w14:paraId="60AB9820" w14:textId="66843141" w:rsidR="00DA168E" w:rsidRPr="00BA134B" w:rsidRDefault="00722DA4" w:rsidP="00521C07">
      <w:pPr>
        <w:pStyle w:val="ListParagraph"/>
        <w:numPr>
          <w:ilvl w:val="1"/>
          <w:numId w:val="6"/>
        </w:numPr>
        <w:tabs>
          <w:tab w:val="left" w:pos="536"/>
        </w:tabs>
        <w:spacing w:before="1"/>
        <w:ind w:right="76" w:firstLine="0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CDC has the right to refuse any assignment.</w:t>
      </w:r>
    </w:p>
    <w:p w14:paraId="31F7F4B1" w14:textId="77777777" w:rsidR="00DA168E" w:rsidRPr="00BA134B" w:rsidRDefault="00DA168E" w:rsidP="00521C07">
      <w:pPr>
        <w:pStyle w:val="BodyText"/>
        <w:spacing w:before="11"/>
        <w:jc w:val="both"/>
        <w:rPr>
          <w:sz w:val="20"/>
          <w:szCs w:val="20"/>
        </w:rPr>
      </w:pPr>
    </w:p>
    <w:p w14:paraId="20187755" w14:textId="668FE5C7" w:rsidR="00DA168E" w:rsidRPr="00BA134B" w:rsidRDefault="00AA1AB8" w:rsidP="00521C07">
      <w:pPr>
        <w:pStyle w:val="ListParagraph"/>
        <w:numPr>
          <w:ilvl w:val="1"/>
          <w:numId w:val="6"/>
        </w:numPr>
        <w:tabs>
          <w:tab w:val="left" w:pos="536"/>
        </w:tabs>
        <w:ind w:right="111" w:firstLine="0"/>
        <w:jc w:val="both"/>
        <w:rPr>
          <w:sz w:val="20"/>
          <w:szCs w:val="20"/>
        </w:rPr>
      </w:pPr>
      <w:r w:rsidRPr="00BA134B">
        <w:rPr>
          <w:sz w:val="20"/>
          <w:szCs w:val="20"/>
        </w:rPr>
        <w:t xml:space="preserve">Communication between the parties takes place either by telephone, email, fax or website. </w:t>
      </w:r>
    </w:p>
    <w:p w14:paraId="65A6B997" w14:textId="77777777" w:rsidR="00DA168E" w:rsidRPr="00BA134B" w:rsidRDefault="00DA168E" w:rsidP="00521C07">
      <w:pPr>
        <w:pStyle w:val="BodyText"/>
        <w:jc w:val="both"/>
        <w:rPr>
          <w:sz w:val="20"/>
          <w:szCs w:val="20"/>
        </w:rPr>
      </w:pPr>
    </w:p>
    <w:p w14:paraId="482ABB29" w14:textId="177F1733" w:rsidR="00DA168E" w:rsidRPr="00BA134B" w:rsidRDefault="00AA1AB8" w:rsidP="00521C07">
      <w:pPr>
        <w:pStyle w:val="Heading1"/>
        <w:numPr>
          <w:ilvl w:val="0"/>
          <w:numId w:val="7"/>
        </w:numPr>
        <w:tabs>
          <w:tab w:val="left" w:pos="836"/>
        </w:tabs>
        <w:spacing w:before="1"/>
        <w:ind w:hanging="361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Obligations of CDC</w:t>
      </w:r>
    </w:p>
    <w:p w14:paraId="2A5ADD8D" w14:textId="4D6619A8" w:rsidR="00DA168E" w:rsidRPr="00BA134B" w:rsidRDefault="00AA1AB8" w:rsidP="00521C07">
      <w:pPr>
        <w:pStyle w:val="ListParagraph"/>
        <w:numPr>
          <w:ilvl w:val="1"/>
          <w:numId w:val="5"/>
        </w:numPr>
        <w:tabs>
          <w:tab w:val="left" w:pos="536"/>
        </w:tabs>
        <w:ind w:hanging="421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CDC will act in compliance with laws and regulations applicable in Cyprus and collection activities will be conducted in a legal, ethical and business-like manner</w:t>
      </w:r>
      <w:r w:rsidR="003C1D32" w:rsidRPr="00BA134B">
        <w:rPr>
          <w:sz w:val="20"/>
          <w:szCs w:val="20"/>
        </w:rPr>
        <w:t>.</w:t>
      </w:r>
    </w:p>
    <w:p w14:paraId="7AF232E6" w14:textId="77777777" w:rsidR="00DA168E" w:rsidRPr="00BA134B" w:rsidRDefault="00DA168E" w:rsidP="00521C07">
      <w:pPr>
        <w:pStyle w:val="BodyText"/>
        <w:spacing w:before="11"/>
        <w:jc w:val="both"/>
        <w:rPr>
          <w:sz w:val="20"/>
          <w:szCs w:val="20"/>
        </w:rPr>
      </w:pPr>
    </w:p>
    <w:p w14:paraId="3897A91A" w14:textId="5102DC78" w:rsidR="00DA168E" w:rsidRPr="00BA134B" w:rsidRDefault="00AA1AB8" w:rsidP="00521C07">
      <w:pPr>
        <w:pStyle w:val="ListParagraph"/>
        <w:numPr>
          <w:ilvl w:val="1"/>
          <w:numId w:val="5"/>
        </w:numPr>
        <w:tabs>
          <w:tab w:val="left" w:pos="536"/>
        </w:tabs>
        <w:ind w:left="115" w:right="971" w:firstLine="0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CDC will take legal action against Debtors only after receiving the approval of the Client</w:t>
      </w:r>
      <w:r w:rsidR="003C1D32" w:rsidRPr="00BA134B">
        <w:rPr>
          <w:sz w:val="20"/>
          <w:szCs w:val="20"/>
        </w:rPr>
        <w:t>.</w:t>
      </w:r>
    </w:p>
    <w:p w14:paraId="2D3F148D" w14:textId="77777777" w:rsidR="00DA168E" w:rsidRPr="00BA134B" w:rsidRDefault="00DA168E" w:rsidP="00521C07">
      <w:pPr>
        <w:pStyle w:val="BodyText"/>
        <w:jc w:val="both"/>
        <w:rPr>
          <w:sz w:val="20"/>
          <w:szCs w:val="20"/>
        </w:rPr>
      </w:pPr>
    </w:p>
    <w:p w14:paraId="68043159" w14:textId="25FB34A8" w:rsidR="00DA168E" w:rsidRPr="00BA134B" w:rsidRDefault="00AA1AB8" w:rsidP="00521C07">
      <w:pPr>
        <w:pStyle w:val="ListParagraph"/>
        <w:numPr>
          <w:ilvl w:val="1"/>
          <w:numId w:val="5"/>
        </w:numPr>
        <w:tabs>
          <w:tab w:val="left" w:pos="536"/>
        </w:tabs>
        <w:ind w:left="115" w:right="389" w:firstLine="0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CDC will forward monthly reports on all Client’s cases</w:t>
      </w:r>
      <w:r w:rsidR="003C1D32" w:rsidRPr="00BA134B">
        <w:rPr>
          <w:sz w:val="20"/>
          <w:szCs w:val="20"/>
        </w:rPr>
        <w:t>.</w:t>
      </w:r>
      <w:r w:rsidRPr="00BA134B">
        <w:rPr>
          <w:sz w:val="20"/>
          <w:szCs w:val="20"/>
        </w:rPr>
        <w:t xml:space="preserve"> Closed cases will be reported to the Client immediately. </w:t>
      </w:r>
    </w:p>
    <w:p w14:paraId="03E61228" w14:textId="77777777" w:rsidR="00DA168E" w:rsidRPr="00BA134B" w:rsidRDefault="00DA168E" w:rsidP="00521C07">
      <w:pPr>
        <w:pStyle w:val="BodyText"/>
        <w:jc w:val="both"/>
        <w:rPr>
          <w:sz w:val="20"/>
          <w:szCs w:val="20"/>
        </w:rPr>
      </w:pPr>
    </w:p>
    <w:p w14:paraId="2C532E72" w14:textId="5B49D74B" w:rsidR="00DA168E" w:rsidRPr="00BA134B" w:rsidRDefault="00AA1AB8" w:rsidP="00521C07">
      <w:pPr>
        <w:pStyle w:val="ListParagraph"/>
        <w:numPr>
          <w:ilvl w:val="1"/>
          <w:numId w:val="5"/>
        </w:numPr>
        <w:tabs>
          <w:tab w:val="left" w:pos="532"/>
        </w:tabs>
        <w:ind w:left="116" w:right="783" w:firstLine="0"/>
        <w:jc w:val="both"/>
        <w:rPr>
          <w:sz w:val="20"/>
          <w:szCs w:val="20"/>
        </w:rPr>
      </w:pPr>
      <w:r w:rsidRPr="00BA134B">
        <w:rPr>
          <w:sz w:val="20"/>
          <w:szCs w:val="20"/>
        </w:rPr>
        <w:t xml:space="preserve">CDC </w:t>
      </w:r>
      <w:r w:rsidR="00722DA4" w:rsidRPr="00BA134B">
        <w:rPr>
          <w:sz w:val="20"/>
          <w:szCs w:val="20"/>
        </w:rPr>
        <w:t>replies promptly to the Client’s queries.</w:t>
      </w:r>
    </w:p>
    <w:p w14:paraId="0E29A1CF" w14:textId="77777777" w:rsidR="00DA168E" w:rsidRPr="00BA134B" w:rsidRDefault="00DA168E" w:rsidP="00521C07">
      <w:pPr>
        <w:pStyle w:val="BodyText"/>
        <w:jc w:val="both"/>
        <w:rPr>
          <w:sz w:val="20"/>
          <w:szCs w:val="20"/>
        </w:rPr>
      </w:pPr>
    </w:p>
    <w:p w14:paraId="6E31463B" w14:textId="27E6CA85" w:rsidR="00DA168E" w:rsidRPr="00BA134B" w:rsidRDefault="00722DA4" w:rsidP="00521C07">
      <w:pPr>
        <w:pStyle w:val="ListParagraph"/>
        <w:numPr>
          <w:ilvl w:val="1"/>
          <w:numId w:val="5"/>
        </w:numPr>
        <w:tabs>
          <w:tab w:val="left" w:pos="532"/>
        </w:tabs>
        <w:ind w:left="531" w:hanging="416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CDC is obliged to make payments to the Client within 3 days of any amount received from Debtor to the bank account indicated by the Client less legal commission or fees</w:t>
      </w:r>
      <w:r w:rsidR="003C1D32" w:rsidRPr="00BA134B">
        <w:rPr>
          <w:sz w:val="20"/>
          <w:szCs w:val="20"/>
        </w:rPr>
        <w:t>.</w:t>
      </w:r>
    </w:p>
    <w:p w14:paraId="736042F0" w14:textId="77777777" w:rsidR="00DA168E" w:rsidRPr="00BA134B" w:rsidRDefault="00DA168E" w:rsidP="00521C07">
      <w:pPr>
        <w:pStyle w:val="BodyText"/>
        <w:jc w:val="both"/>
        <w:rPr>
          <w:sz w:val="20"/>
          <w:szCs w:val="20"/>
        </w:rPr>
      </w:pPr>
    </w:p>
    <w:p w14:paraId="4EF4D49E" w14:textId="7BC12780" w:rsidR="00DA168E" w:rsidRPr="00BA134B" w:rsidRDefault="00722DA4" w:rsidP="00521C07">
      <w:pPr>
        <w:pStyle w:val="ListParagraph"/>
        <w:numPr>
          <w:ilvl w:val="1"/>
          <w:numId w:val="5"/>
        </w:numPr>
        <w:tabs>
          <w:tab w:val="left" w:pos="536"/>
        </w:tabs>
        <w:ind w:hanging="421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Any agreement for</w:t>
      </w:r>
      <w:r w:rsidR="000139FE" w:rsidRPr="00BA134B">
        <w:rPr>
          <w:sz w:val="20"/>
          <w:szCs w:val="20"/>
        </w:rPr>
        <w:t xml:space="preserve"> the</w:t>
      </w:r>
      <w:r w:rsidRPr="00BA134B">
        <w:rPr>
          <w:sz w:val="20"/>
          <w:szCs w:val="20"/>
        </w:rPr>
        <w:t xml:space="preserve"> repayment of the debt between CDC and Debtor must first be agreed with the Client</w:t>
      </w:r>
      <w:r w:rsidR="003C1D32" w:rsidRPr="00BA134B">
        <w:rPr>
          <w:sz w:val="20"/>
          <w:szCs w:val="20"/>
        </w:rPr>
        <w:t>.</w:t>
      </w:r>
    </w:p>
    <w:p w14:paraId="4E5CF23F" w14:textId="7161640B" w:rsidR="000139FE" w:rsidRPr="00BA134B" w:rsidRDefault="000139FE" w:rsidP="00521C07">
      <w:pPr>
        <w:pStyle w:val="BodyText"/>
        <w:jc w:val="both"/>
        <w:rPr>
          <w:sz w:val="20"/>
          <w:szCs w:val="20"/>
        </w:rPr>
      </w:pPr>
    </w:p>
    <w:p w14:paraId="2B4E11F3" w14:textId="4047FA20" w:rsidR="00DA168E" w:rsidRPr="00BA134B" w:rsidRDefault="003C1D32" w:rsidP="00521C07">
      <w:pPr>
        <w:pStyle w:val="Heading1"/>
        <w:numPr>
          <w:ilvl w:val="0"/>
          <w:numId w:val="7"/>
        </w:numPr>
        <w:tabs>
          <w:tab w:val="left" w:pos="836"/>
        </w:tabs>
        <w:spacing w:before="76"/>
        <w:ind w:hanging="361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The</w:t>
      </w:r>
      <w:r w:rsidRPr="00BA134B">
        <w:rPr>
          <w:spacing w:val="-2"/>
          <w:sz w:val="20"/>
          <w:szCs w:val="20"/>
        </w:rPr>
        <w:t xml:space="preserve"> </w:t>
      </w:r>
      <w:r w:rsidRPr="00BA134B">
        <w:rPr>
          <w:sz w:val="20"/>
          <w:szCs w:val="20"/>
        </w:rPr>
        <w:t>Client</w:t>
      </w:r>
    </w:p>
    <w:p w14:paraId="6D135A56" w14:textId="646C2490" w:rsidR="00DA168E" w:rsidRPr="00BA134B" w:rsidRDefault="000139FE" w:rsidP="00521C07">
      <w:pPr>
        <w:pStyle w:val="ListParagraph"/>
        <w:numPr>
          <w:ilvl w:val="1"/>
          <w:numId w:val="3"/>
        </w:numPr>
        <w:tabs>
          <w:tab w:val="left" w:pos="536"/>
        </w:tabs>
        <w:ind w:left="115" w:right="108" w:firstLine="0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The Client agrees:</w:t>
      </w:r>
    </w:p>
    <w:p w14:paraId="23C39988" w14:textId="22548217" w:rsidR="00F148C3" w:rsidRPr="00BA134B" w:rsidRDefault="00F148C3" w:rsidP="00521C07">
      <w:pPr>
        <w:pStyle w:val="ListParagraph"/>
        <w:numPr>
          <w:ilvl w:val="0"/>
          <w:numId w:val="8"/>
        </w:numPr>
        <w:tabs>
          <w:tab w:val="left" w:pos="536"/>
        </w:tabs>
        <w:ind w:right="108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To collaborate with CDC regarding the Debt.</w:t>
      </w:r>
    </w:p>
    <w:p w14:paraId="2C62F60B" w14:textId="3CAA717E" w:rsidR="000139FE" w:rsidRPr="00BA134B" w:rsidRDefault="000139FE" w:rsidP="00521C07">
      <w:pPr>
        <w:pStyle w:val="ListParagraph"/>
        <w:numPr>
          <w:ilvl w:val="0"/>
          <w:numId w:val="8"/>
        </w:numPr>
        <w:tabs>
          <w:tab w:val="left" w:pos="536"/>
        </w:tabs>
        <w:ind w:right="108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To notify CDC of all communications held with the Debtor after appointment.</w:t>
      </w:r>
    </w:p>
    <w:p w14:paraId="71D0D306" w14:textId="079C3506" w:rsidR="000139FE" w:rsidRPr="00BA134B" w:rsidRDefault="000139FE" w:rsidP="00521C07">
      <w:pPr>
        <w:pStyle w:val="ListParagraph"/>
        <w:numPr>
          <w:ilvl w:val="0"/>
          <w:numId w:val="8"/>
        </w:numPr>
        <w:tabs>
          <w:tab w:val="left" w:pos="536"/>
        </w:tabs>
        <w:ind w:right="108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To notify CDC of any payments made directly to the Client.</w:t>
      </w:r>
    </w:p>
    <w:p w14:paraId="0EAADC88" w14:textId="7ECD5619" w:rsidR="000139FE" w:rsidRPr="00BA134B" w:rsidRDefault="000139FE" w:rsidP="00521C07">
      <w:pPr>
        <w:pStyle w:val="ListParagraph"/>
        <w:numPr>
          <w:ilvl w:val="0"/>
          <w:numId w:val="8"/>
        </w:numPr>
        <w:tabs>
          <w:tab w:val="left" w:pos="536"/>
        </w:tabs>
        <w:ind w:right="108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To notify CDC of any other important matter.</w:t>
      </w:r>
    </w:p>
    <w:p w14:paraId="266CF7E4" w14:textId="7746710E" w:rsidR="000139FE" w:rsidRPr="00BA134B" w:rsidRDefault="000139FE" w:rsidP="00521C07">
      <w:pPr>
        <w:pStyle w:val="ListParagraph"/>
        <w:numPr>
          <w:ilvl w:val="0"/>
          <w:numId w:val="8"/>
        </w:numPr>
        <w:tabs>
          <w:tab w:val="left" w:pos="536"/>
        </w:tabs>
        <w:ind w:right="108"/>
        <w:jc w:val="both"/>
        <w:rPr>
          <w:sz w:val="20"/>
          <w:szCs w:val="20"/>
        </w:rPr>
      </w:pPr>
      <w:r w:rsidRPr="00BA134B">
        <w:rPr>
          <w:sz w:val="20"/>
          <w:szCs w:val="20"/>
        </w:rPr>
        <w:t xml:space="preserve">To provide complete and </w:t>
      </w:r>
      <w:r w:rsidR="00F148C3" w:rsidRPr="00BA134B">
        <w:rPr>
          <w:sz w:val="20"/>
          <w:szCs w:val="20"/>
        </w:rPr>
        <w:t>accurate information regarding the debt</w:t>
      </w:r>
      <w:r w:rsidRPr="00BA134B">
        <w:rPr>
          <w:sz w:val="20"/>
          <w:szCs w:val="20"/>
        </w:rPr>
        <w:t>.</w:t>
      </w:r>
    </w:p>
    <w:p w14:paraId="17E2D8F3" w14:textId="77777777" w:rsidR="00DA168E" w:rsidRPr="00BA134B" w:rsidRDefault="00DA168E" w:rsidP="00521C07">
      <w:pPr>
        <w:pStyle w:val="BodyText"/>
        <w:jc w:val="both"/>
        <w:rPr>
          <w:sz w:val="20"/>
          <w:szCs w:val="20"/>
        </w:rPr>
      </w:pPr>
    </w:p>
    <w:p w14:paraId="74A9AA0E" w14:textId="247DC7BF" w:rsidR="00DA168E" w:rsidRPr="00BA134B" w:rsidRDefault="00F148C3" w:rsidP="00521C07">
      <w:pPr>
        <w:pStyle w:val="Heading1"/>
        <w:numPr>
          <w:ilvl w:val="0"/>
          <w:numId w:val="7"/>
        </w:numPr>
        <w:tabs>
          <w:tab w:val="left" w:pos="836"/>
        </w:tabs>
        <w:ind w:hanging="361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Fees / Commission</w:t>
      </w:r>
    </w:p>
    <w:p w14:paraId="488E564E" w14:textId="4BCBA171" w:rsidR="00DA168E" w:rsidRPr="00BA134B" w:rsidRDefault="00F148C3" w:rsidP="00521C07">
      <w:pPr>
        <w:pStyle w:val="ListParagraph"/>
        <w:numPr>
          <w:ilvl w:val="1"/>
          <w:numId w:val="2"/>
        </w:numPr>
        <w:tabs>
          <w:tab w:val="left" w:pos="536"/>
        </w:tabs>
        <w:ind w:left="115" w:right="-66" w:firstLine="0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CDC is entitled to the percentage agreed commission on all collections, whether made by CDC or the Client, after appointment, and the Client is obliged to pay it</w:t>
      </w:r>
      <w:r w:rsidR="003C1D32" w:rsidRPr="00BA134B">
        <w:rPr>
          <w:sz w:val="20"/>
          <w:szCs w:val="20"/>
        </w:rPr>
        <w:t>.</w:t>
      </w:r>
      <w:r w:rsidRPr="00BA134B">
        <w:rPr>
          <w:sz w:val="20"/>
          <w:szCs w:val="20"/>
        </w:rPr>
        <w:t xml:space="preserve"> Rate of commission is agreed between CDC and the Client on every case. </w:t>
      </w:r>
    </w:p>
    <w:p w14:paraId="1791CE2C" w14:textId="77777777" w:rsidR="00DA168E" w:rsidRPr="00BA134B" w:rsidRDefault="00DA168E" w:rsidP="00521C07">
      <w:pPr>
        <w:pStyle w:val="BodyText"/>
        <w:jc w:val="both"/>
        <w:rPr>
          <w:sz w:val="20"/>
          <w:szCs w:val="20"/>
        </w:rPr>
      </w:pPr>
    </w:p>
    <w:p w14:paraId="4F9F2DAC" w14:textId="4DAD90F5" w:rsidR="00DA168E" w:rsidRPr="00BA134B" w:rsidRDefault="00F148C3" w:rsidP="00521C07">
      <w:pPr>
        <w:pStyle w:val="Heading1"/>
        <w:numPr>
          <w:ilvl w:val="0"/>
          <w:numId w:val="7"/>
        </w:numPr>
        <w:tabs>
          <w:tab w:val="left" w:pos="836"/>
        </w:tabs>
        <w:spacing w:before="1"/>
        <w:ind w:hanging="361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Other</w:t>
      </w:r>
      <w:r w:rsidR="003C1D32" w:rsidRPr="00BA134B">
        <w:rPr>
          <w:sz w:val="20"/>
          <w:szCs w:val="20"/>
        </w:rPr>
        <w:t>:</w:t>
      </w:r>
    </w:p>
    <w:p w14:paraId="28A80876" w14:textId="357E83D7" w:rsidR="00DA168E" w:rsidRPr="00BA134B" w:rsidRDefault="00486769" w:rsidP="00521C07">
      <w:pPr>
        <w:pStyle w:val="ListParagraph"/>
        <w:numPr>
          <w:ilvl w:val="1"/>
          <w:numId w:val="1"/>
        </w:numPr>
        <w:tabs>
          <w:tab w:val="left" w:pos="536"/>
        </w:tabs>
        <w:ind w:left="115" w:right="1245" w:firstLine="0"/>
        <w:jc w:val="both"/>
        <w:rPr>
          <w:sz w:val="20"/>
          <w:szCs w:val="20"/>
        </w:rPr>
      </w:pPr>
      <w:r w:rsidRPr="00BA134B">
        <w:rPr>
          <w:sz w:val="20"/>
          <w:szCs w:val="20"/>
        </w:rPr>
        <w:t xml:space="preserve">Confidential information will not be communicated to third parties without the other party’s </w:t>
      </w:r>
      <w:r w:rsidR="0016407D">
        <w:rPr>
          <w:sz w:val="20"/>
          <w:szCs w:val="20"/>
        </w:rPr>
        <w:t>c</w:t>
      </w:r>
      <w:r w:rsidRPr="00BA134B">
        <w:rPr>
          <w:sz w:val="20"/>
          <w:szCs w:val="20"/>
        </w:rPr>
        <w:t xml:space="preserve">onsent. </w:t>
      </w:r>
    </w:p>
    <w:p w14:paraId="51595CB3" w14:textId="77777777" w:rsidR="00DA168E" w:rsidRPr="00BA134B" w:rsidRDefault="00DA168E" w:rsidP="00521C07">
      <w:pPr>
        <w:pStyle w:val="BodyText"/>
        <w:spacing w:before="11"/>
        <w:jc w:val="both"/>
        <w:rPr>
          <w:sz w:val="20"/>
          <w:szCs w:val="20"/>
        </w:rPr>
      </w:pPr>
    </w:p>
    <w:p w14:paraId="3D913126" w14:textId="18F8C572" w:rsidR="00DA168E" w:rsidRPr="00BA134B" w:rsidRDefault="00486769" w:rsidP="00521C07">
      <w:pPr>
        <w:pStyle w:val="ListParagraph"/>
        <w:numPr>
          <w:ilvl w:val="1"/>
          <w:numId w:val="1"/>
        </w:numPr>
        <w:tabs>
          <w:tab w:val="left" w:pos="536"/>
        </w:tabs>
        <w:ind w:left="115" w:right="492" w:firstLine="0"/>
        <w:jc w:val="both"/>
        <w:rPr>
          <w:sz w:val="20"/>
          <w:szCs w:val="20"/>
        </w:rPr>
      </w:pPr>
      <w:r w:rsidRPr="00BA134B">
        <w:rPr>
          <w:sz w:val="20"/>
          <w:szCs w:val="20"/>
        </w:rPr>
        <w:t>Neither party shall be liable for any damage or any delay due to force majeure event</w:t>
      </w:r>
      <w:r w:rsidR="003C1D32" w:rsidRPr="00BA134B">
        <w:rPr>
          <w:sz w:val="20"/>
          <w:szCs w:val="20"/>
        </w:rPr>
        <w:t>.</w:t>
      </w:r>
    </w:p>
    <w:p w14:paraId="205A72AB" w14:textId="77777777" w:rsidR="00486769" w:rsidRPr="00BA134B" w:rsidRDefault="00486769" w:rsidP="00521C07">
      <w:pPr>
        <w:pStyle w:val="ListParagraph"/>
        <w:jc w:val="both"/>
        <w:rPr>
          <w:sz w:val="20"/>
          <w:szCs w:val="20"/>
        </w:rPr>
      </w:pPr>
    </w:p>
    <w:p w14:paraId="1ABB5938" w14:textId="70FBA0CE" w:rsidR="00486769" w:rsidRPr="00486769" w:rsidRDefault="00486769" w:rsidP="00521C07">
      <w:pPr>
        <w:pStyle w:val="ListParagraph"/>
        <w:tabs>
          <w:tab w:val="left" w:pos="536"/>
        </w:tabs>
        <w:ind w:right="-66"/>
        <w:jc w:val="both"/>
        <w:rPr>
          <w:sz w:val="24"/>
        </w:rPr>
      </w:pPr>
      <w:r w:rsidRPr="00BA134B">
        <w:rPr>
          <w:sz w:val="20"/>
          <w:szCs w:val="20"/>
        </w:rPr>
        <w:t>As mentioned above, this appointment letter is in force immediately after CDC confirms that action has been taken on the relevant debt.</w:t>
      </w:r>
    </w:p>
    <w:sectPr w:rsidR="00486769" w:rsidRPr="00486769">
      <w:headerReference w:type="default" r:id="rId7"/>
      <w:pgSz w:w="11910" w:h="16840"/>
      <w:pgMar w:top="132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C0212" w14:textId="77777777" w:rsidR="004321B8" w:rsidRDefault="004321B8" w:rsidP="00521C07">
      <w:r>
        <w:separator/>
      </w:r>
    </w:p>
  </w:endnote>
  <w:endnote w:type="continuationSeparator" w:id="0">
    <w:p w14:paraId="135833B4" w14:textId="77777777" w:rsidR="004321B8" w:rsidRDefault="004321B8" w:rsidP="0052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82707" w14:textId="77777777" w:rsidR="004321B8" w:rsidRDefault="004321B8" w:rsidP="00521C07">
      <w:r>
        <w:separator/>
      </w:r>
    </w:p>
  </w:footnote>
  <w:footnote w:type="continuationSeparator" w:id="0">
    <w:p w14:paraId="5E71C2F7" w14:textId="77777777" w:rsidR="004321B8" w:rsidRDefault="004321B8" w:rsidP="0052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CBA4A" w14:textId="0F81DB72" w:rsidR="00521C07" w:rsidRDefault="00FE6ED9">
    <w:pPr>
      <w:pStyle w:val="Header"/>
    </w:pPr>
    <w:r w:rsidRPr="00FE6ED9">
      <w:rPr>
        <w:noProof/>
      </w:rPr>
      <w:drawing>
        <wp:inline distT="0" distB="0" distL="0" distR="0" wp14:anchorId="03CC6EF9" wp14:editId="54C9EFAB">
          <wp:extent cx="4369943" cy="713655"/>
          <wp:effectExtent l="0" t="0" r="0" b="0"/>
          <wp:docPr id="9" name="Picture 8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D2477E9-72BC-4FAB-B9A8-870E2AE4B3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2D2477E9-72BC-4FAB-B9A8-870E2AE4B3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9943" cy="713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4C7"/>
    <w:multiLevelType w:val="multilevel"/>
    <w:tmpl w:val="DD5A4692"/>
    <w:lvl w:ilvl="0">
      <w:start w:val="1"/>
      <w:numFmt w:val="decimal"/>
      <w:lvlText w:val="%1"/>
      <w:lvlJc w:val="left"/>
      <w:pPr>
        <w:ind w:left="116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53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69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9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6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3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24697FC7"/>
    <w:multiLevelType w:val="multilevel"/>
    <w:tmpl w:val="D7E068C8"/>
    <w:lvl w:ilvl="0">
      <w:start w:val="2"/>
      <w:numFmt w:val="decimal"/>
      <w:lvlText w:val="%1"/>
      <w:lvlJc w:val="left"/>
      <w:pPr>
        <w:ind w:left="116" w:hanging="420"/>
      </w:pPr>
      <w:rPr>
        <w:rFonts w:hint="default"/>
        <w:lang w:val="en-US" w:eastAsia="en-US" w:bidi="ar-SA"/>
      </w:rPr>
    </w:lvl>
    <w:lvl w:ilvl="1">
      <w:start w:val="8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53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69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9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6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3" w:hanging="420"/>
      </w:pPr>
      <w:rPr>
        <w:rFonts w:hint="default"/>
        <w:lang w:val="en-US" w:eastAsia="en-US" w:bidi="ar-SA"/>
      </w:rPr>
    </w:lvl>
  </w:abstractNum>
  <w:abstractNum w:abstractNumId="2" w15:restartNumberingAfterBreak="0">
    <w:nsid w:val="347D5885"/>
    <w:multiLevelType w:val="hybridMultilevel"/>
    <w:tmpl w:val="41502A02"/>
    <w:lvl w:ilvl="0" w:tplc="EABE02B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3AD467C0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CC487A90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3" w:tplc="8C28874E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5D6439F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5" w:tplc="23D27364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2EC21F88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7" w:tplc="1BE8FABC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8" w:tplc="ACE68C98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F406A3D"/>
    <w:multiLevelType w:val="multilevel"/>
    <w:tmpl w:val="5A943520"/>
    <w:lvl w:ilvl="0">
      <w:start w:val="5"/>
      <w:numFmt w:val="decimal"/>
      <w:lvlText w:val="%1"/>
      <w:lvlJc w:val="left"/>
      <w:pPr>
        <w:ind w:left="116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53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69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9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6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3" w:hanging="420"/>
      </w:pPr>
      <w:rPr>
        <w:rFonts w:hint="default"/>
        <w:lang w:val="en-US" w:eastAsia="en-US" w:bidi="ar-SA"/>
      </w:rPr>
    </w:lvl>
  </w:abstractNum>
  <w:abstractNum w:abstractNumId="4" w15:restartNumberingAfterBreak="0">
    <w:nsid w:val="6AA87A9F"/>
    <w:multiLevelType w:val="multilevel"/>
    <w:tmpl w:val="5EECD83C"/>
    <w:lvl w:ilvl="0">
      <w:start w:val="2"/>
      <w:numFmt w:val="decimal"/>
      <w:lvlText w:val="%1"/>
      <w:lvlJc w:val="left"/>
      <w:pPr>
        <w:ind w:left="536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89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8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7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2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7" w:hanging="420"/>
      </w:pPr>
      <w:rPr>
        <w:rFonts w:hint="default"/>
        <w:lang w:val="en-US" w:eastAsia="en-US" w:bidi="ar-SA"/>
      </w:rPr>
    </w:lvl>
  </w:abstractNum>
  <w:abstractNum w:abstractNumId="5" w15:restartNumberingAfterBreak="0">
    <w:nsid w:val="6B8405FB"/>
    <w:multiLevelType w:val="hybridMultilevel"/>
    <w:tmpl w:val="43CA0AAC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70B050F0"/>
    <w:multiLevelType w:val="multilevel"/>
    <w:tmpl w:val="FD5A267A"/>
    <w:lvl w:ilvl="0">
      <w:start w:val="3"/>
      <w:numFmt w:val="decimal"/>
      <w:lvlText w:val="%1"/>
      <w:lvlJc w:val="left"/>
      <w:pPr>
        <w:ind w:left="116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ar-SA"/>
      </w:rPr>
    </w:lvl>
    <w:lvl w:ilvl="2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spacing w:val="-1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1BF76B4"/>
    <w:multiLevelType w:val="multilevel"/>
    <w:tmpl w:val="60DAE878"/>
    <w:lvl w:ilvl="0">
      <w:start w:val="4"/>
      <w:numFmt w:val="decimal"/>
      <w:lvlText w:val="%1"/>
      <w:lvlJc w:val="left"/>
      <w:pPr>
        <w:ind w:left="116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53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69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9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6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3" w:hanging="42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68E"/>
    <w:rsid w:val="000139FE"/>
    <w:rsid w:val="0016407D"/>
    <w:rsid w:val="00230B06"/>
    <w:rsid w:val="003C1D32"/>
    <w:rsid w:val="004321B8"/>
    <w:rsid w:val="00486769"/>
    <w:rsid w:val="004F06B3"/>
    <w:rsid w:val="00521C07"/>
    <w:rsid w:val="00722DA4"/>
    <w:rsid w:val="008931B8"/>
    <w:rsid w:val="009D4035"/>
    <w:rsid w:val="00AA1AB8"/>
    <w:rsid w:val="00BA134B"/>
    <w:rsid w:val="00DA168E"/>
    <w:rsid w:val="00F148C3"/>
    <w:rsid w:val="00F37EA0"/>
    <w:rsid w:val="00F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4455"/>
  <w15:docId w15:val="{E5256BC2-0C6E-4653-A54D-E570C86F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6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34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1C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C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1C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C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Brännberg</dc:creator>
  <cp:lastModifiedBy>Andreas Efstathiou</cp:lastModifiedBy>
  <cp:revision>5</cp:revision>
  <cp:lastPrinted>2020-05-25T09:20:00Z</cp:lastPrinted>
  <dcterms:created xsi:type="dcterms:W3CDTF">2020-05-25T07:56:00Z</dcterms:created>
  <dcterms:modified xsi:type="dcterms:W3CDTF">2020-07-22T12:11:00Z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2020-05-25T00:00:00Z</vt:filetime>
  </property>
</Properties>
</file>